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31" w:rsidRPr="00D5090E" w:rsidRDefault="00280931" w:rsidP="00280931">
      <w:pPr>
        <w:pStyle w:val="Heading1"/>
        <w:ind w:right="545"/>
        <w:rPr>
          <w:color w:val="1F3864"/>
        </w:rPr>
      </w:pPr>
      <w:r>
        <w:rPr>
          <w:rStyle w:val="Heading1"/>
          <w:color w:val="1F3864"/>
        </w:rPr>
        <w:t>Point 4 de l</w:t>
      </w:r>
      <w:r>
        <w:rPr>
          <w:rStyle w:val="Heading1"/>
          <w:rFonts w:cs="Century Gothic"/>
          <w:color w:val="1F3864"/>
          <w:cs/>
        </w:rPr>
        <w:t>’</w:t>
      </w:r>
      <w:r>
        <w:rPr>
          <w:rStyle w:val="Heading1"/>
          <w:color w:val="1F3864"/>
        </w:rPr>
        <w:t xml:space="preserve">ordre du jour : </w:t>
      </w:r>
      <w:bookmarkStart w:id="0" w:name="_GoBack"/>
      <w:bookmarkEnd w:id="0"/>
      <w:r w:rsidR="000A77ED">
        <w:rPr>
          <w:rStyle w:val="Heading1"/>
          <w:color w:val="1F3864"/>
        </w:rPr>
        <w:t>m</w:t>
      </w:r>
      <w:r>
        <w:rPr>
          <w:rStyle w:val="Heading1"/>
          <w:color w:val="1F3864"/>
        </w:rPr>
        <w:t>ise à jour sur la Réunion gouvernementale de haut niveau</w:t>
      </w:r>
    </w:p>
    <w:p w:rsidR="00280931" w:rsidRDefault="00280931" w:rsidP="00280931">
      <w:pPr>
        <w:pStyle w:val="Heading2"/>
        <w:rPr>
          <w:sz w:val="20"/>
          <w:szCs w:val="20"/>
        </w:rPr>
      </w:pPr>
      <w:r>
        <w:rPr>
          <w:rStyle w:val="Heading2"/>
          <w:sz w:val="20"/>
        </w:rPr>
        <w:t xml:space="preserve">Note : </w:t>
      </w:r>
      <w:r>
        <w:rPr>
          <w:rStyle w:val="Heading2"/>
          <w:b w:val="0"/>
          <w:color w:val="000000"/>
          <w:sz w:val="20"/>
        </w:rPr>
        <w:t xml:space="preserve">le présent document a été </w:t>
      </w:r>
      <w:r w:rsidR="000A77ED">
        <w:rPr>
          <w:rStyle w:val="Heading2"/>
          <w:b w:val="0"/>
          <w:color w:val="000000"/>
          <w:sz w:val="20"/>
        </w:rPr>
        <w:t>préparé par</w:t>
      </w:r>
      <w:r>
        <w:rPr>
          <w:rStyle w:val="Heading2"/>
          <w:b w:val="0"/>
          <w:color w:val="000000"/>
          <w:sz w:val="20"/>
        </w:rPr>
        <w:t xml:space="preserve"> le personnel de soutien de l</w:t>
      </w:r>
      <w:r>
        <w:rPr>
          <w:rStyle w:val="Heading2"/>
          <w:rFonts w:cs="Century Gothic"/>
          <w:b w:val="0"/>
          <w:color w:val="000000"/>
          <w:sz w:val="20"/>
          <w:cs/>
        </w:rPr>
        <w:t>’</w:t>
      </w:r>
      <w:r>
        <w:rPr>
          <w:rStyle w:val="Heading2"/>
          <w:b w:val="0"/>
          <w:color w:val="000000"/>
          <w:sz w:val="20"/>
        </w:rPr>
        <w:t>ICANN.</w:t>
      </w:r>
    </w:p>
    <w:p w:rsidR="00280931" w:rsidRPr="00DA3E3F" w:rsidRDefault="00280931" w:rsidP="00280931">
      <w:pPr>
        <w:pStyle w:val="BodyText"/>
      </w:pPr>
    </w:p>
    <w:p w:rsidR="00280931" w:rsidRPr="00515D0F" w:rsidRDefault="00280931" w:rsidP="00280931">
      <w:pPr>
        <w:pStyle w:val="Heading2"/>
      </w:pPr>
      <w:r>
        <w:rPr>
          <w:rStyle w:val="Heading2"/>
        </w:rPr>
        <w:t xml:space="preserve">Aperçu :  </w:t>
      </w:r>
    </w:p>
    <w:p w:rsidR="00280931" w:rsidRPr="00515D0F" w:rsidRDefault="00280931" w:rsidP="00280931">
      <w:pPr>
        <w:pStyle w:val="BodyText"/>
      </w:pPr>
    </w:p>
    <w:p w:rsidR="00280931" w:rsidRPr="006B7BD0" w:rsidRDefault="00280931" w:rsidP="00280931">
      <w:pPr>
        <w:pStyle w:val="BodyText"/>
        <w:spacing w:line="276" w:lineRule="auto"/>
        <w:rPr>
          <w:rFonts w:ascii="Century Gothic" w:hAnsi="Century Gothic"/>
        </w:rPr>
      </w:pPr>
      <w:r>
        <w:rPr>
          <w:rStyle w:val="BodyText"/>
          <w:rFonts w:ascii="Century Gothic" w:hAnsi="Century Gothic"/>
        </w:rPr>
        <w:t>Les rapports officiels des deux équipes de révision de la responsabilité et la transparence (ATRT1 et ATRT2) ont recommandé au GAC d</w:t>
      </w:r>
      <w:r>
        <w:rPr>
          <w:rStyle w:val="BodyText"/>
          <w:rFonts w:ascii="Century Gothic" w:hAnsi="Century Gothic" w:cs="Century Gothic"/>
          <w:cs/>
        </w:rPr>
        <w:t>’</w:t>
      </w:r>
      <w:r>
        <w:rPr>
          <w:rStyle w:val="BodyText"/>
          <w:rFonts w:ascii="Century Gothic" w:hAnsi="Century Gothic"/>
        </w:rPr>
        <w:t>organiser des réunions gouvernementales de haut niveau (« HLGM ») « au moins une fois tous les deux ans » afin qu</w:t>
      </w:r>
      <w:r>
        <w:rPr>
          <w:rStyle w:val="BodyText"/>
          <w:rFonts w:ascii="Century Gothic" w:hAnsi="Century Gothic" w:cs="Century Gothic"/>
          <w:cs/>
        </w:rPr>
        <w:t>’</w:t>
      </w:r>
      <w:r>
        <w:rPr>
          <w:rStyle w:val="BodyText"/>
          <w:rFonts w:ascii="Century Gothic" w:hAnsi="Century Gothic"/>
        </w:rPr>
        <w:t>un plus grand nombre de pays soient au courant de l</w:t>
      </w:r>
      <w:r>
        <w:rPr>
          <w:rStyle w:val="BodyText"/>
          <w:rFonts w:ascii="Century Gothic" w:hAnsi="Century Gothic" w:cs="Century Gothic"/>
          <w:cs/>
        </w:rPr>
        <w:t>’</w:t>
      </w:r>
      <w:r>
        <w:rPr>
          <w:rStyle w:val="BodyText"/>
          <w:rFonts w:ascii="Century Gothic" w:hAnsi="Century Gothic"/>
        </w:rPr>
        <w:t>ICANN et du GAC et pour augmenter la sensibilisation et le soutien au plus haut niveau du gouvernement. Inspiré par ces recommandations, le GAC et les gouvernements des pays hôtes ont organisé une première réunion gouvernementale de haut niveau à Toronto en 2012, une deuxième réunion à Londres en 2014 et une troisième au cours de la réunion ICANN 55 à Marrakech. En accord avec cette fréquence, une quatrième HLGM devrait être accueillie par le gouvernement de l</w:t>
      </w:r>
      <w:r>
        <w:rPr>
          <w:rStyle w:val="BodyText"/>
          <w:rFonts w:ascii="Century Gothic" w:hAnsi="Century Gothic" w:cs="Century Gothic"/>
          <w:cs/>
        </w:rPr>
        <w:t>’</w:t>
      </w:r>
      <w:r>
        <w:rPr>
          <w:rStyle w:val="BodyText"/>
          <w:rFonts w:ascii="Century Gothic" w:hAnsi="Century Gothic"/>
        </w:rPr>
        <w:t>Espagne plus tard cette année, le 22 octobre, lors de la réunion ICANN 62 à Barcelone.</w:t>
      </w:r>
    </w:p>
    <w:p w:rsidR="00280931" w:rsidRPr="006B7BD0" w:rsidRDefault="00280931" w:rsidP="00280931">
      <w:pPr>
        <w:pStyle w:val="BodyText"/>
      </w:pPr>
    </w:p>
    <w:p w:rsidR="00280931" w:rsidRDefault="00280931" w:rsidP="00280931">
      <w:pPr>
        <w:pStyle w:val="Heading2"/>
      </w:pPr>
      <w:r>
        <w:rPr>
          <w:rStyle w:val="Heading2"/>
        </w:rPr>
        <w:t>Action requise de la part du GAC :</w:t>
      </w:r>
    </w:p>
    <w:p w:rsidR="00280931" w:rsidRPr="00515D0F" w:rsidRDefault="00280931" w:rsidP="00280931">
      <w:pPr>
        <w:pStyle w:val="BodyText"/>
      </w:pPr>
    </w:p>
    <w:p w:rsidR="00280931" w:rsidRPr="00515D0F" w:rsidRDefault="00280931" w:rsidP="00280931">
      <w:pPr>
        <w:pStyle w:val="BodyText"/>
        <w:rPr>
          <w:rFonts w:ascii="Century Gothic" w:hAnsi="Century Gothic"/>
        </w:rPr>
      </w:pPr>
      <w:r>
        <w:rPr>
          <w:rStyle w:val="BodyText"/>
          <w:rFonts w:ascii="Century Gothic" w:hAnsi="Century Gothic"/>
        </w:rPr>
        <w:t>Le GAC sera informé au Panama sur les derniers préparatifs et les plans du gouvernement hôte pour la réunion gouvernementale de haut niveau qui se tiendra à Barcelone.</w:t>
      </w:r>
    </w:p>
    <w:p w:rsidR="00280931" w:rsidRPr="000A353D" w:rsidRDefault="00280931" w:rsidP="00280931">
      <w:pPr>
        <w:pStyle w:val="BodyText"/>
      </w:pPr>
    </w:p>
    <w:p w:rsidR="00280931" w:rsidRDefault="00280931" w:rsidP="00280931">
      <w:pPr>
        <w:pStyle w:val="Heading2"/>
        <w:rPr>
          <w:u w:val="single"/>
        </w:rPr>
      </w:pPr>
      <w:r>
        <w:rPr>
          <w:rStyle w:val="Heading2"/>
        </w:rPr>
        <w:t>État actuel/points forts logistiques :</w:t>
      </w:r>
    </w:p>
    <w:p w:rsidR="00280931" w:rsidRPr="00515D0F" w:rsidRDefault="00280931" w:rsidP="00280931">
      <w:pPr>
        <w:pStyle w:val="BodyText"/>
      </w:pPr>
    </w:p>
    <w:p w:rsidR="00280931" w:rsidRPr="00515D0F" w:rsidRDefault="00280931" w:rsidP="00280931">
      <w:pPr>
        <w:pStyle w:val="BodyText"/>
        <w:numPr>
          <w:ilvl w:val="0"/>
          <w:numId w:val="7"/>
        </w:numPr>
        <w:rPr>
          <w:rFonts w:ascii="Century Gothic" w:hAnsi="Century Gothic"/>
        </w:rPr>
      </w:pPr>
      <w:r>
        <w:rPr>
          <w:rStyle w:val="BodyText"/>
          <w:rFonts w:ascii="Century Gothic" w:hAnsi="Century Gothic"/>
        </w:rPr>
        <w:t>ICANN 63 : 20 au 26 oct 2018</w:t>
      </w:r>
    </w:p>
    <w:p w:rsidR="00280931" w:rsidRPr="00515D0F" w:rsidRDefault="00280931" w:rsidP="00280931">
      <w:pPr>
        <w:pStyle w:val="BodyText"/>
        <w:numPr>
          <w:ilvl w:val="0"/>
          <w:numId w:val="7"/>
        </w:numPr>
        <w:rPr>
          <w:rFonts w:ascii="Century Gothic" w:hAnsi="Century Gothic"/>
        </w:rPr>
      </w:pPr>
      <w:r>
        <w:rPr>
          <w:rStyle w:val="BodyText"/>
          <w:rFonts w:ascii="Century Gothic" w:hAnsi="Century Gothic"/>
        </w:rPr>
        <w:t>Lieu de la réunion : Barcelona International Convention Centre (CCIB)</w:t>
      </w:r>
    </w:p>
    <w:p w:rsidR="00280931" w:rsidRPr="00515D0F" w:rsidRDefault="00280931" w:rsidP="00280931">
      <w:pPr>
        <w:pStyle w:val="BodyText"/>
        <w:numPr>
          <w:ilvl w:val="0"/>
          <w:numId w:val="7"/>
        </w:numPr>
        <w:rPr>
          <w:rFonts w:ascii="Century Gothic" w:hAnsi="Century Gothic"/>
        </w:rPr>
      </w:pPr>
      <w:r>
        <w:rPr>
          <w:rStyle w:val="BodyText"/>
          <w:rFonts w:ascii="Century Gothic" w:hAnsi="Century Gothic"/>
        </w:rPr>
        <w:t>HLGM : 22 octobre (lundi)</w:t>
      </w:r>
    </w:p>
    <w:p w:rsidR="00280931" w:rsidRDefault="00280931" w:rsidP="00280931">
      <w:pPr>
        <w:pStyle w:val="BodyText"/>
        <w:numPr>
          <w:ilvl w:val="0"/>
          <w:numId w:val="7"/>
        </w:numPr>
        <w:rPr>
          <w:rFonts w:ascii="Century Gothic" w:hAnsi="Century Gothic"/>
        </w:rPr>
      </w:pPr>
      <w:r>
        <w:rPr>
          <w:rStyle w:val="BodyText"/>
          <w:rFonts w:ascii="Century Gothic" w:hAnsi="Century Gothic"/>
        </w:rPr>
        <w:t>Déjeuner offert aux ministres, aux chefs de délégation et aux fonctionnaires de haut niveau de l</w:t>
      </w:r>
      <w:r>
        <w:rPr>
          <w:rStyle w:val="BodyText"/>
          <w:rFonts w:ascii="Century Gothic" w:hAnsi="Century Gothic" w:cs="Century Gothic"/>
          <w:cs/>
        </w:rPr>
        <w:t>’</w:t>
      </w:r>
      <w:r>
        <w:rPr>
          <w:rStyle w:val="BodyText"/>
          <w:rFonts w:ascii="Century Gothic" w:hAnsi="Century Gothic"/>
        </w:rPr>
        <w:t>ICANN</w:t>
      </w:r>
    </w:p>
    <w:p w:rsidR="00280931" w:rsidRPr="00515D0F" w:rsidRDefault="00280931" w:rsidP="00280931">
      <w:pPr>
        <w:pStyle w:val="BodyText"/>
        <w:numPr>
          <w:ilvl w:val="0"/>
          <w:numId w:val="7"/>
        </w:numPr>
        <w:rPr>
          <w:rFonts w:ascii="Century Gothic" w:hAnsi="Century Gothic"/>
        </w:rPr>
      </w:pPr>
      <w:r>
        <w:rPr>
          <w:rStyle w:val="BodyText"/>
          <w:rFonts w:ascii="Century Gothic" w:hAnsi="Century Gothic"/>
        </w:rPr>
        <w:t>La réception post-réunion est en cours de planification</w:t>
      </w:r>
    </w:p>
    <w:p w:rsidR="00280931" w:rsidRDefault="00280931" w:rsidP="00280931">
      <w:pPr>
        <w:pStyle w:val="BodyText"/>
        <w:numPr>
          <w:ilvl w:val="0"/>
          <w:numId w:val="7"/>
        </w:numPr>
        <w:rPr>
          <w:rFonts w:ascii="Century Gothic" w:hAnsi="Century Gothic"/>
        </w:rPr>
      </w:pPr>
      <w:r>
        <w:rPr>
          <w:rStyle w:val="BodyText"/>
          <w:rFonts w:ascii="Century Gothic" w:hAnsi="Century Gothic"/>
        </w:rPr>
        <w:lastRenderedPageBreak/>
        <w:t>Les lettres d</w:t>
      </w:r>
      <w:r>
        <w:rPr>
          <w:rStyle w:val="BodyText"/>
          <w:rFonts w:ascii="Century Gothic" w:hAnsi="Century Gothic" w:cs="Century Gothic"/>
          <w:cs/>
        </w:rPr>
        <w:t>’</w:t>
      </w:r>
      <w:r>
        <w:rPr>
          <w:rStyle w:val="BodyText"/>
          <w:rFonts w:ascii="Century Gothic" w:hAnsi="Century Gothic"/>
        </w:rPr>
        <w:t>invitation de l</w:t>
      </w:r>
      <w:r>
        <w:rPr>
          <w:rStyle w:val="BodyText"/>
          <w:rFonts w:ascii="Century Gothic" w:hAnsi="Century Gothic" w:cs="Century Gothic"/>
          <w:cs/>
        </w:rPr>
        <w:t>’</w:t>
      </w:r>
      <w:r>
        <w:rPr>
          <w:rStyle w:val="BodyText"/>
          <w:rFonts w:ascii="Century Gothic" w:hAnsi="Century Gothic"/>
        </w:rPr>
        <w:t>hôte ont été envoyées aux fonctionnaires de haut niveau à la mi- mars.  Les e-mails de suivi des invitations ont été copiés aux membres du GAC.</w:t>
      </w:r>
    </w:p>
    <w:p w:rsidR="00280931" w:rsidRDefault="00280931" w:rsidP="00280931">
      <w:pPr>
        <w:pStyle w:val="BodyText"/>
        <w:numPr>
          <w:ilvl w:val="0"/>
          <w:numId w:val="7"/>
        </w:numPr>
        <w:spacing w:line="276" w:lineRule="auto"/>
        <w:rPr>
          <w:rFonts w:ascii="Century Gothic" w:hAnsi="Century Gothic"/>
        </w:rPr>
      </w:pPr>
      <w:r>
        <w:rPr>
          <w:rStyle w:val="BodyText"/>
          <w:rFonts w:ascii="Century Gothic" w:hAnsi="Century Gothic"/>
        </w:rPr>
        <w:t>Les membres du GAC ont fourni au gouvernement hôte et aux dirigeants du GAC des conseils, des suggestions, des opinions et des idées sur les points de l</w:t>
      </w:r>
      <w:r>
        <w:rPr>
          <w:rStyle w:val="BodyText"/>
          <w:rFonts w:ascii="Century Gothic" w:hAnsi="Century Gothic" w:cs="Century Gothic"/>
          <w:cs/>
        </w:rPr>
        <w:t>’</w:t>
      </w:r>
      <w:r>
        <w:rPr>
          <w:rStyle w:val="BodyText"/>
          <w:rFonts w:ascii="Century Gothic" w:hAnsi="Century Gothic"/>
        </w:rPr>
        <w:t>ordre du jour lors de la réunion ICANN 60 à Abu Dhabi, ICANN61 à San Juan et par e-mail. Un ordre du jour est maintenant achevé et sera partagé avec les participants potentiels dans une deuxième série d</w:t>
      </w:r>
      <w:r>
        <w:rPr>
          <w:rStyle w:val="BodyText"/>
          <w:rFonts w:ascii="Century Gothic" w:hAnsi="Century Gothic" w:cs="Century Gothic"/>
          <w:cs/>
        </w:rPr>
        <w:t>’</w:t>
      </w:r>
      <w:r>
        <w:rPr>
          <w:rStyle w:val="BodyText"/>
          <w:rFonts w:ascii="Century Gothic" w:hAnsi="Century Gothic"/>
        </w:rPr>
        <w:t xml:space="preserve">invitations. </w:t>
      </w:r>
    </w:p>
    <w:p w:rsidR="00280931" w:rsidRPr="00515D0F" w:rsidRDefault="00280931" w:rsidP="00280931">
      <w:pPr>
        <w:pStyle w:val="BodyText"/>
        <w:spacing w:line="276" w:lineRule="auto"/>
        <w:rPr>
          <w:rFonts w:ascii="Century Gothic" w:hAnsi="Century Gothic"/>
        </w:rPr>
      </w:pPr>
    </w:p>
    <w:p w:rsidR="00280931" w:rsidRDefault="00280931" w:rsidP="00280931">
      <w:pPr>
        <w:pStyle w:val="Heading2"/>
      </w:pPr>
      <w:r>
        <w:rPr>
          <w:rStyle w:val="Heading2"/>
        </w:rPr>
        <w:t>Plus d</w:t>
      </w:r>
      <w:r>
        <w:rPr>
          <w:rStyle w:val="Heading2"/>
          <w:rFonts w:cs="Century Gothic"/>
          <w:cs/>
        </w:rPr>
        <w:t>’</w:t>
      </w:r>
      <w:r>
        <w:rPr>
          <w:rStyle w:val="Heading2"/>
        </w:rPr>
        <w:t>informations de contexte/Détails :</w:t>
      </w:r>
    </w:p>
    <w:p w:rsidR="00280931" w:rsidRDefault="00280931" w:rsidP="00280931">
      <w:pPr>
        <w:pStyle w:val="BodyText"/>
        <w:rPr>
          <w:rFonts w:ascii="Century Gothic" w:hAnsi="Century Gothic"/>
        </w:rPr>
      </w:pPr>
    </w:p>
    <w:p w:rsidR="00280931" w:rsidRPr="00492172" w:rsidRDefault="00280931" w:rsidP="00280931">
      <w:pPr>
        <w:pStyle w:val="BodyText"/>
        <w:rPr>
          <w:rFonts w:ascii="Century Gothic" w:hAnsi="Century Gothic"/>
        </w:rPr>
      </w:pPr>
      <w:r>
        <w:rPr>
          <w:rStyle w:val="BodyText"/>
          <w:rFonts w:ascii="Century Gothic" w:hAnsi="Century Gothic"/>
        </w:rPr>
        <w:t xml:space="preserve">Lignes directrices du GAC pour les réunions gouvernementales de haut niveau - </w:t>
      </w:r>
      <w:hyperlink r:id="rId7" w:history="1">
        <w:r>
          <w:rPr>
            <w:rStyle w:val="Hyperlink"/>
            <w:rFonts w:ascii="Century Gothic" w:hAnsi="Century Gothic"/>
          </w:rPr>
          <w:t>https://gac.icann.org/meeting-services/guidelines-for-high-level-government-meetings</w:t>
        </w:r>
      </w:hyperlink>
    </w:p>
    <w:p w:rsidR="00280931" w:rsidRPr="00E06DE4" w:rsidRDefault="00280931" w:rsidP="00280931">
      <w:pPr>
        <w:pStyle w:val="BodyText"/>
        <w:ind w:right="545"/>
      </w:pPr>
    </w:p>
    <w:p w:rsidR="00280931" w:rsidRDefault="00280931" w:rsidP="00280931">
      <w:pPr>
        <w:pStyle w:val="Heading2"/>
      </w:pPr>
      <w:bookmarkStart w:id="1" w:name="_Hlk484433727"/>
      <w:r>
        <w:rPr>
          <w:rStyle w:val="Heading2"/>
        </w:rPr>
        <w:t>Gestion des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280931" w:rsidRPr="003F43E3" w:rsidTr="00280931">
        <w:tc>
          <w:tcPr>
            <w:tcW w:w="3083" w:type="dxa"/>
            <w:vAlign w:val="center"/>
          </w:tcPr>
          <w:p w:rsidR="00280931" w:rsidRPr="00D5090E" w:rsidRDefault="00280931" w:rsidP="00280931">
            <w:pPr>
              <w:ind w:right="-132"/>
              <w:rPr>
                <w:rFonts w:ascii="Century Gothic" w:hAnsi="Century Gothic"/>
                <w:b/>
                <w:sz w:val="20"/>
                <w:szCs w:val="20"/>
              </w:rPr>
            </w:pPr>
            <w:r>
              <w:rPr>
                <w:rStyle w:val="Normal"/>
                <w:rFonts w:ascii="Century Gothic" w:hAnsi="Century Gothic"/>
                <w:b/>
                <w:sz w:val="20"/>
              </w:rPr>
              <w:t>Titre</w:t>
            </w:r>
          </w:p>
        </w:tc>
        <w:tc>
          <w:tcPr>
            <w:tcW w:w="5439" w:type="dxa"/>
            <w:vAlign w:val="center"/>
          </w:tcPr>
          <w:p w:rsidR="00280931" w:rsidRPr="00D5090E" w:rsidRDefault="00280931" w:rsidP="00280931">
            <w:pPr>
              <w:ind w:right="545"/>
              <w:rPr>
                <w:rFonts w:ascii="Century Gothic" w:hAnsi="Century Gothic"/>
                <w:sz w:val="20"/>
                <w:szCs w:val="20"/>
              </w:rPr>
            </w:pPr>
            <w:r>
              <w:rPr>
                <w:rStyle w:val="Normal"/>
                <w:rFonts w:ascii="Century Gothic" w:hAnsi="Century Gothic"/>
                <w:sz w:val="20"/>
              </w:rPr>
              <w:t>HLGM</w:t>
            </w:r>
          </w:p>
        </w:tc>
      </w:tr>
      <w:tr w:rsidR="00280931" w:rsidRPr="003F43E3" w:rsidTr="00280931">
        <w:tc>
          <w:tcPr>
            <w:tcW w:w="3083" w:type="dxa"/>
            <w:vAlign w:val="center"/>
          </w:tcPr>
          <w:p w:rsidR="00280931" w:rsidRPr="00D5090E" w:rsidRDefault="00280931" w:rsidP="00280931">
            <w:pPr>
              <w:ind w:right="-132"/>
              <w:rPr>
                <w:rFonts w:ascii="Century Gothic" w:hAnsi="Century Gothic"/>
                <w:b/>
                <w:sz w:val="20"/>
                <w:szCs w:val="20"/>
              </w:rPr>
            </w:pPr>
            <w:r>
              <w:rPr>
                <w:rStyle w:val="Normal"/>
                <w:rFonts w:ascii="Century Gothic" w:hAnsi="Century Gothic"/>
                <w:b/>
                <w:sz w:val="20"/>
              </w:rPr>
              <w:t>Distribution</w:t>
            </w:r>
          </w:p>
        </w:tc>
        <w:tc>
          <w:tcPr>
            <w:tcW w:w="5439" w:type="dxa"/>
            <w:vAlign w:val="center"/>
          </w:tcPr>
          <w:p w:rsidR="00280931" w:rsidRPr="00D5090E" w:rsidRDefault="00280931" w:rsidP="00280931">
            <w:pPr>
              <w:ind w:right="545"/>
              <w:rPr>
                <w:rFonts w:ascii="Century Gothic" w:hAnsi="Century Gothic"/>
                <w:sz w:val="20"/>
                <w:szCs w:val="20"/>
              </w:rPr>
            </w:pPr>
            <w:r>
              <w:rPr>
                <w:rStyle w:val="Normal"/>
                <w:rFonts w:ascii="Century Gothic" w:hAnsi="Century Gothic"/>
                <w:sz w:val="20"/>
              </w:rPr>
              <w:t>Membres du GAC</w:t>
            </w:r>
          </w:p>
        </w:tc>
      </w:tr>
      <w:tr w:rsidR="00280931" w:rsidRPr="003F43E3" w:rsidTr="00280931">
        <w:tc>
          <w:tcPr>
            <w:tcW w:w="3083" w:type="dxa"/>
            <w:vAlign w:val="center"/>
          </w:tcPr>
          <w:p w:rsidR="00280931" w:rsidRPr="00D5090E" w:rsidRDefault="00280931" w:rsidP="00280931">
            <w:pPr>
              <w:ind w:right="-132"/>
              <w:rPr>
                <w:rFonts w:ascii="Century Gothic" w:hAnsi="Century Gothic"/>
                <w:b/>
                <w:sz w:val="20"/>
                <w:szCs w:val="20"/>
              </w:rPr>
            </w:pPr>
            <w:r>
              <w:rPr>
                <w:rStyle w:val="Normal"/>
                <w:rFonts w:ascii="Century Gothic" w:hAnsi="Century Gothic"/>
                <w:b/>
                <w:sz w:val="20"/>
              </w:rPr>
              <w:t>Date de distribution</w:t>
            </w:r>
          </w:p>
        </w:tc>
        <w:tc>
          <w:tcPr>
            <w:tcW w:w="5439" w:type="dxa"/>
            <w:vAlign w:val="center"/>
          </w:tcPr>
          <w:p w:rsidR="00280931" w:rsidRPr="00D5090E" w:rsidRDefault="00280931" w:rsidP="00280931">
            <w:pPr>
              <w:ind w:right="545"/>
              <w:rPr>
                <w:rFonts w:ascii="Century Gothic" w:hAnsi="Century Gothic"/>
                <w:sz w:val="20"/>
                <w:szCs w:val="20"/>
              </w:rPr>
            </w:pPr>
            <w:r>
              <w:rPr>
                <w:rStyle w:val="Normal"/>
                <w:rFonts w:ascii="Century Gothic" w:hAnsi="Century Gothic"/>
                <w:sz w:val="20"/>
              </w:rPr>
              <w:t>6 juin 2018</w:t>
            </w:r>
          </w:p>
        </w:tc>
      </w:tr>
      <w:bookmarkEnd w:id="1"/>
    </w:tbl>
    <w:p w:rsidR="00280931" w:rsidRDefault="00280931" w:rsidP="00280931">
      <w:pPr>
        <w:pStyle w:val="BodyText"/>
        <w:ind w:right="545"/>
        <w:rPr>
          <w:color w:val="000000"/>
          <w:szCs w:val="20"/>
        </w:rPr>
      </w:pPr>
    </w:p>
    <w:p w:rsidR="00280931" w:rsidRPr="004361B1" w:rsidRDefault="00280931" w:rsidP="00280931">
      <w:pPr>
        <w:pStyle w:val="BodyText"/>
      </w:pPr>
    </w:p>
    <w:sectPr w:rsidR="00280931" w:rsidRPr="004361B1" w:rsidSect="00280931">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DC" w:rsidRDefault="004B2EDC">
      <w:r>
        <w:separator/>
      </w:r>
    </w:p>
  </w:endnote>
  <w:endnote w:type="continuationSeparator" w:id="0">
    <w:p w:rsidR="004B2EDC" w:rsidRDefault="004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31" w:rsidRDefault="00280931" w:rsidP="002809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0931" w:rsidRDefault="00280931" w:rsidP="00280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31" w:rsidRDefault="00280931" w:rsidP="002809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280931" w:rsidRDefault="00280931" w:rsidP="002809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DC" w:rsidRDefault="004B2EDC">
      <w:r>
        <w:separator/>
      </w:r>
    </w:p>
  </w:footnote>
  <w:footnote w:type="continuationSeparator" w:id="0">
    <w:p w:rsidR="004B2EDC" w:rsidRDefault="004B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931" w:rsidRDefault="00462099">
    <w:pPr>
      <w:pStyle w:val="Header"/>
    </w:pPr>
    <w:r>
      <w:rPr>
        <w:noProof/>
      </w:rPr>
      <w:drawing>
        <wp:anchor distT="0" distB="0" distL="114300" distR="114300" simplePos="0" relativeHeight="251657728" behindDoc="1" locked="0" layoutInCell="1" allowOverlap="1">
          <wp:simplePos x="0" y="0"/>
          <wp:positionH relativeFrom="column">
            <wp:posOffset>1670685</wp:posOffset>
          </wp:positionH>
          <wp:positionV relativeFrom="paragraph">
            <wp:posOffset>-512445</wp:posOffset>
          </wp:positionV>
          <wp:extent cx="2124075" cy="1363980"/>
          <wp:effectExtent l="0" t="0" r="0" b="0"/>
          <wp:wrapNone/>
          <wp:docPr id="1"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363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896B99"/>
    <w:multiLevelType w:val="hybridMultilevel"/>
    <w:tmpl w:val="101684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544E6B09"/>
    <w:multiLevelType w:val="hybridMultilevel"/>
    <w:tmpl w:val="2E480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C4348F7"/>
    <w:multiLevelType w:val="hybridMultilevel"/>
    <w:tmpl w:val="E00A97AC"/>
    <w:lvl w:ilvl="0">
      <w:start w:val="1"/>
      <w:numFmt w:val="decimal"/>
      <w:lvlText w:val="%1."/>
      <w:lvlJc w:val="left"/>
      <w:pPr>
        <w:ind w:left="360" w:hanging="360"/>
      </w:pPr>
      <w:rPr>
        <w:rFonts w:eastAsia="Times New Roman"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B072D34"/>
    <w:multiLevelType w:val="hybridMultilevel"/>
    <w:tmpl w:val="C03A2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78DA0743"/>
    <w:multiLevelType w:val="hybridMultilevel"/>
    <w:tmpl w:val="74C8AFC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1"/>
    <w:rsid w:val="000A77ED"/>
    <w:rsid w:val="002617B6"/>
    <w:rsid w:val="00280931"/>
    <w:rsid w:val="00462099"/>
    <w:rsid w:val="004B2EDC"/>
    <w:rsid w:val="0089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D825D5-C0E2-4381-AB15-FAB8E93E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1B1"/>
    <w:rPr>
      <w:rFonts w:ascii="Times New Roman" w:eastAsia="Times New Roman" w:hAnsi="Times New Roman"/>
      <w:sz w:val="24"/>
      <w:szCs w:val="24"/>
      <w:lang w:val="fr-FR" w:eastAsia="fr-FR"/>
    </w:rPr>
  </w:style>
  <w:style w:type="paragraph" w:styleId="Heading1">
    <w:name w:val="heading 1"/>
    <w:next w:val="BodyText"/>
    <w:link w:val="Heading1Ch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hAnsi="Century Gothic"/>
      <w:b/>
      <w:color w:val="00408E"/>
      <w:sz w:val="28"/>
      <w:szCs w:val="28"/>
      <w:lang w:val="fr-FR" w:eastAsia="fr-FR"/>
    </w:rPr>
  </w:style>
  <w:style w:type="paragraph" w:styleId="Heading2">
    <w:name w:val="heading 2"/>
    <w:basedOn w:val="BodyText"/>
    <w:next w:val="BodyText"/>
    <w:link w:val="Heading2Char"/>
    <w:autoRedefine/>
    <w:uiPriority w:val="9"/>
    <w:unhideWhenUsed/>
    <w:qFormat/>
    <w:rsid w:val="00515D0F"/>
    <w:pPr>
      <w:keepNext/>
      <w:keepLines/>
      <w:spacing w:after="0" w:line="276" w:lineRule="auto"/>
      <w:ind w:right="547"/>
      <w:outlineLvl w:val="1"/>
    </w:pPr>
    <w:rPr>
      <w:rFonts w:ascii="Century Gothic" w:eastAsia="Calibri" w:hAnsi="Century Gothic"/>
      <w:b/>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1B1"/>
    <w:rPr>
      <w:rFonts w:ascii="Century Gothic" w:eastAsia="Calibri" w:hAnsi="Century Gothic" w:cs="Times New Roman"/>
      <w:b/>
      <w:color w:val="00408E"/>
      <w:sz w:val="28"/>
      <w:szCs w:val="28"/>
      <w:lang w:val="fr-FR" w:eastAsia="fr-FR"/>
    </w:rPr>
  </w:style>
  <w:style w:type="character" w:customStyle="1" w:styleId="Heading2Char">
    <w:name w:val="Heading 2 Char"/>
    <w:link w:val="Heading2"/>
    <w:uiPriority w:val="9"/>
    <w:rsid w:val="00515D0F"/>
    <w:rPr>
      <w:rFonts w:ascii="Century Gothic" w:eastAsia="Calibri" w:hAnsi="Century Gothic" w:cs="Times New Roman"/>
      <w:b/>
      <w:color w:val="4472C4"/>
      <w:lang w:val="fr-FR" w:eastAsia="fr-FR"/>
    </w:rPr>
  </w:style>
  <w:style w:type="paragraph" w:styleId="Header">
    <w:name w:val="header"/>
    <w:basedOn w:val="Normal"/>
    <w:link w:val="HeaderChar"/>
    <w:uiPriority w:val="99"/>
    <w:unhideWhenUsed/>
    <w:rsid w:val="004361B1"/>
    <w:pPr>
      <w:tabs>
        <w:tab w:val="center" w:pos="4320"/>
        <w:tab w:val="right" w:pos="8640"/>
      </w:tabs>
    </w:pPr>
    <w:rPr>
      <w:rFonts w:ascii="Calibri" w:hAnsi="Calibri"/>
    </w:rPr>
  </w:style>
  <w:style w:type="character" w:customStyle="1" w:styleId="HeaderChar">
    <w:name w:val="Header Char"/>
    <w:link w:val="Header"/>
    <w:uiPriority w:val="99"/>
    <w:rsid w:val="004361B1"/>
    <w:rPr>
      <w:rFonts w:eastAsia="Times New Roman"/>
      <w:lang w:val="fr-FR" w:eastAsia="fr-FR"/>
    </w:rPr>
  </w:style>
  <w:style w:type="paragraph" w:styleId="Footer">
    <w:name w:val="footer"/>
    <w:basedOn w:val="Normal"/>
    <w:link w:val="FooterChar"/>
    <w:uiPriority w:val="99"/>
    <w:unhideWhenUsed/>
    <w:rsid w:val="004361B1"/>
    <w:pPr>
      <w:tabs>
        <w:tab w:val="center" w:pos="4536"/>
        <w:tab w:val="right" w:pos="9072"/>
      </w:tabs>
    </w:pPr>
    <w:rPr>
      <w:rFonts w:ascii="Calibri" w:hAnsi="Calibri"/>
    </w:rPr>
  </w:style>
  <w:style w:type="character" w:customStyle="1" w:styleId="FooterChar">
    <w:name w:val="Footer Char"/>
    <w:link w:val="Footer"/>
    <w:uiPriority w:val="99"/>
    <w:rsid w:val="004361B1"/>
    <w:rPr>
      <w:rFonts w:eastAsia="Times New Roman"/>
      <w:lang w:val="fr-FR" w:eastAsia="fr-FR"/>
    </w:rPr>
  </w:style>
  <w:style w:type="character" w:styleId="PageNumber">
    <w:name w:val="page number"/>
    <w:basedOn w:val="DefaultParagraphFont"/>
    <w:uiPriority w:val="99"/>
    <w:semiHidden/>
    <w:unhideWhenUsed/>
    <w:rsid w:val="004361B1"/>
  </w:style>
  <w:style w:type="paragraph" w:styleId="BodyText">
    <w:name w:val="Body Text"/>
    <w:basedOn w:val="Normal"/>
    <w:link w:val="BodyTextChar"/>
    <w:uiPriority w:val="99"/>
    <w:unhideWhenUsed/>
    <w:rsid w:val="004361B1"/>
    <w:pPr>
      <w:spacing w:after="120"/>
    </w:pPr>
  </w:style>
  <w:style w:type="character" w:customStyle="1" w:styleId="BodyTextChar">
    <w:name w:val="Body Text Char"/>
    <w:link w:val="BodyText"/>
    <w:uiPriority w:val="99"/>
    <w:rsid w:val="004361B1"/>
    <w:rPr>
      <w:rFonts w:ascii="Times New Roman" w:eastAsia="Times New Roman" w:hAnsi="Times New Roman" w:cs="Times New Roman"/>
      <w:lang w:val="fr-FR" w:eastAsia="fr-FR"/>
    </w:rPr>
  </w:style>
  <w:style w:type="paragraph" w:styleId="ListParagraph">
    <w:name w:val="List Paragraph"/>
    <w:basedOn w:val="Normal"/>
    <w:uiPriority w:val="34"/>
    <w:qFormat/>
    <w:rsid w:val="004361B1"/>
    <w:pPr>
      <w:ind w:left="720"/>
      <w:contextualSpacing/>
    </w:pPr>
  </w:style>
  <w:style w:type="character" w:styleId="Hyperlink">
    <w:name w:val="Hyperlink"/>
    <w:uiPriority w:val="99"/>
    <w:unhideWhenUsed/>
    <w:rsid w:val="004361B1"/>
    <w:rPr>
      <w:color w:val="0563C1"/>
      <w:u w:val="single"/>
      <w:lang w:val="fr-FR" w:eastAsia="fr-FR"/>
    </w:rPr>
  </w:style>
  <w:style w:type="paragraph" w:styleId="NormalWeb">
    <w:name w:val="Normal (Web)"/>
    <w:basedOn w:val="Normal"/>
    <w:uiPriority w:val="99"/>
    <w:semiHidden/>
    <w:unhideWhenUsed/>
    <w:rsid w:val="004361B1"/>
    <w:pPr>
      <w:spacing w:before="100" w:beforeAutospacing="1" w:after="100" w:afterAutospacing="1"/>
    </w:pPr>
  </w:style>
  <w:style w:type="character" w:styleId="Strong">
    <w:name w:val="Strong"/>
    <w:uiPriority w:val="22"/>
    <w:qFormat/>
    <w:rsid w:val="004361B1"/>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c.icann.org/meeting-services/guidelines-for-high-level-government-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2509</CharactersWithSpaces>
  <SharedDoc>false</SharedDoc>
  <HLinks>
    <vt:vector size="6" baseType="variant">
      <vt:variant>
        <vt:i4>5177350</vt:i4>
      </vt:variant>
      <vt:variant>
        <vt:i4>0</vt:i4>
      </vt:variant>
      <vt:variant>
        <vt:i4>0</vt:i4>
      </vt:variant>
      <vt:variant>
        <vt:i4>5</vt:i4>
      </vt:variant>
      <vt:variant>
        <vt:lpwstr>https://gac.icann.org/meeting-services/guidelines-for-high-level-government-meetings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LS Pros</cp:lastModifiedBy>
  <cp:revision>2</cp:revision>
  <dcterms:created xsi:type="dcterms:W3CDTF">2018-06-19T14:37:00Z</dcterms:created>
  <dcterms:modified xsi:type="dcterms:W3CDTF">2018-06-19T14:37:00Z</dcterms:modified>
</cp:coreProperties>
</file>